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468BCA"/>
          <w:sz w:val="44"/>
        </w:rPr>
        <w:t>Rapport d'avancement</w:t>
      </w:r>
    </w:p>
    <w:p>
      <w:pPr>
        <w:spacing w:after="160"/>
      </w:pPr>
      <w:r>
        <w:rPr>
          <w:b/>
          <w:color w:val="00A99D"/>
          <w:sz w:val="20"/>
        </w:rPr>
        <w:t>Chantier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381"/>
        <w:gridCol w:w="4933"/>
      </w:tblGrid>
      <w:tr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b/>
                <w:color w:val="15212B"/>
                <w:sz w:val="19"/>
              </w:rPr>
              <w:t>Chantier</w:t>
            </w:r>
          </w:p>
        </w:tc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color w:val="15212B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b/>
                <w:color w:val="15212B"/>
                <w:sz w:val="19"/>
              </w:rPr>
              <w:t>Semaine (n° et dates)</w:t>
            </w:r>
          </w:p>
        </w:tc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color w:val="15212B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b/>
                <w:color w:val="15212B"/>
                <w:sz w:val="19"/>
              </w:rPr>
              <w:t>Rédigé par</w:t>
            </w:r>
          </w:p>
        </w:tc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color w:val="15212B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b/>
                <w:color w:val="15212B"/>
                <w:sz w:val="19"/>
              </w:rPr>
              <w:t>Destinataires</w:t>
            </w:r>
          </w:p>
        </w:tc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color w:val="15212B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b/>
                <w:color w:val="15212B"/>
                <w:sz w:val="19"/>
              </w:rPr>
              <w:t>Date</w:t>
            </w:r>
          </w:p>
        </w:tc>
        <w:tc>
          <w:tcPr>
            <w:tcW w:type="dxa" w:w="4933"/>
            <w:tcBorders>
              <w:top w:val="single" w:sz="4" w:space="0" w:color="d9dee2"/>
              <w:left w:val="single" w:sz="4" w:space="0" w:color="d9dee2"/>
              <w:bottom w:val="single" w:sz="4" w:space="0" w:color="d9dee2"/>
              <w:right w:val="single" w:sz="4" w:space="0" w:color="d9dee2"/>
            </w:tcBorders>
            <w:vAlign w:val="center"/>
          </w:tcPr>
          <w:p>
            <w:r/>
            <w:r>
              <w:rPr>
                <w:color w:val="15212B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80"/>
      </w:pPr>
      <w:r>
        <w:rPr>
          <w:rFonts w:ascii="Calibri" w:hAnsi="Calibri"/>
          <w:b/>
          <w:color w:val="468BCA"/>
          <w:sz w:val="26"/>
        </w:rPr>
        <w:t>En une phrase</w:t>
      </w:r>
    </w:p>
    <w:p>
      <w:pPr>
        <w:spacing w:after="120"/>
      </w:pPr>
      <w:r>
        <w:rPr>
          <w:color w:val="B8C0C6"/>
          <w:sz w:val="20"/>
        </w:rPr>
        <w:t>_______________________________________________________________________________________________</w:t>
      </w:r>
    </w:p>
    <w:p>
      <w:pPr>
        <w:spacing w:before="200" w:after="80"/>
      </w:pPr>
      <w:r>
        <w:rPr>
          <w:rFonts w:ascii="Calibri" w:hAnsi="Calibri"/>
          <w:b/>
          <w:color w:val="468BCA"/>
          <w:sz w:val="26"/>
        </w:rPr>
        <w:t>Avancement par lot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28"/>
            <w:shd w:val="clear" w:color="auto" w:fill="468bca"/>
          </w:tcPr>
          <w:p>
            <w:r/>
            <w:r>
              <w:rPr>
                <w:b/>
                <w:color w:val="FFFFFF"/>
                <w:sz w:val="18"/>
              </w:rPr>
              <w:t>Lot</w:t>
            </w:r>
          </w:p>
        </w:tc>
        <w:tc>
          <w:tcPr>
            <w:tcW w:type="dxa" w:w="1417"/>
            <w:shd w:val="clear" w:color="auto" w:fill="468bca"/>
          </w:tcPr>
          <w:p>
            <w:r/>
            <w:r>
              <w:rPr>
                <w:b/>
                <w:color w:val="FFFFFF"/>
                <w:sz w:val="18"/>
              </w:rPr>
              <w:t>Prévu à date (%)</w:t>
            </w:r>
          </w:p>
        </w:tc>
        <w:tc>
          <w:tcPr>
            <w:tcW w:type="dxa" w:w="1531"/>
            <w:shd w:val="clear" w:color="auto" w:fill="468bca"/>
          </w:tcPr>
          <w:p>
            <w:r/>
            <w:r>
              <w:rPr>
                <w:b/>
                <w:color w:val="FFFFFF"/>
                <w:sz w:val="18"/>
              </w:rPr>
              <w:t>Réalisé à date (%)</w:t>
            </w:r>
          </w:p>
        </w:tc>
        <w:tc>
          <w:tcPr>
            <w:tcW w:type="dxa" w:w="1134"/>
            <w:shd w:val="clear" w:color="auto" w:fill="468bca"/>
          </w:tcPr>
          <w:p>
            <w:r/>
            <w:r>
              <w:rPr>
                <w:b/>
                <w:color w:val="FFFFFF"/>
                <w:sz w:val="18"/>
              </w:rPr>
              <w:t>Écart</w:t>
            </w:r>
          </w:p>
        </w:tc>
        <w:tc>
          <w:tcPr>
            <w:tcW w:type="dxa" w:w="3402"/>
            <w:shd w:val="clear" w:color="auto" w:fill="468bca"/>
          </w:tcPr>
          <w:p>
            <w:r/>
            <w:r>
              <w:rPr>
                <w:b/>
                <w:color w:val="FFFFFF"/>
                <w:sz w:val="18"/>
              </w:rPr>
              <w:t>Commentaire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before="200" w:after="80"/>
      </w:pPr>
      <w:r>
        <w:rPr>
          <w:rFonts w:ascii="Calibri" w:hAnsi="Calibri"/>
          <w:b/>
          <w:color w:val="468BCA"/>
          <w:sz w:val="26"/>
        </w:rPr>
        <w:t>Points bloquants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510"/>
            <w:shd w:val="clear" w:color="auto" w:fill="00a99d"/>
          </w:tcPr>
          <w:p>
            <w:r/>
            <w:r>
              <w:rPr>
                <w:b/>
                <w:color w:val="FFFFFF"/>
                <w:sz w:val="18"/>
              </w:rPr>
              <w:t>N°</w:t>
            </w:r>
          </w:p>
        </w:tc>
        <w:tc>
          <w:tcPr>
            <w:tcW w:type="dxa" w:w="2381"/>
            <w:shd w:val="clear" w:color="auto" w:fill="00a99d"/>
          </w:tcPr>
          <w:p>
            <w:r/>
            <w:r>
              <w:rPr>
                <w:b/>
                <w:color w:val="FFFFFF"/>
                <w:sz w:val="18"/>
              </w:rPr>
              <w:t>Bloquant</w:t>
            </w:r>
          </w:p>
        </w:tc>
        <w:tc>
          <w:tcPr>
            <w:tcW w:type="dxa" w:w="1474"/>
            <w:shd w:val="clear" w:color="auto" w:fill="00a99d"/>
          </w:tcPr>
          <w:p>
            <w:r/>
            <w:r>
              <w:rPr>
                <w:b/>
                <w:color w:val="FFFFFF"/>
                <w:sz w:val="18"/>
              </w:rPr>
              <w:t>Lot concerné</w:t>
            </w:r>
          </w:p>
        </w:tc>
        <w:tc>
          <w:tcPr>
            <w:tcW w:type="dxa" w:w="1474"/>
            <w:shd w:val="clear" w:color="auto" w:fill="00a99d"/>
          </w:tcPr>
          <w:p>
            <w:r/>
            <w:r>
              <w:rPr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00a99d"/>
          </w:tcPr>
          <w:p>
            <w:r/>
            <w:r>
              <w:rPr>
                <w:b/>
                <w:color w:val="FFFFFF"/>
                <w:sz w:val="18"/>
              </w:rPr>
              <w:t>Décision attendue</w:t>
            </w:r>
          </w:p>
        </w:tc>
        <w:tc>
          <w:tcPr>
            <w:tcW w:type="dxa" w:w="1531"/>
            <w:shd w:val="clear" w:color="auto" w:fill="00a99d"/>
          </w:tcPr>
          <w:p>
            <w:r/>
            <w:r>
              <w:rPr>
                <w:b/>
                <w:color w:val="FFFFFF"/>
                <w:sz w:val="18"/>
              </w:rPr>
              <w:t>Date limite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706"/>
          </w:tcPr>
          <w:p>
            <w:r/>
            <w:r>
              <w:rPr>
                <w:b/>
                <w:color w:val="468BCA"/>
                <w:sz w:val="22"/>
              </w:rPr>
              <w:t>Fait cette semaine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</w:tc>
        <w:tc>
          <w:tcPr>
            <w:tcW w:type="dxa" w:w="4706"/>
          </w:tcPr>
          <w:p>
            <w:r/>
            <w:r>
              <w:rPr>
                <w:b/>
                <w:color w:val="468BCA"/>
                <w:sz w:val="22"/>
              </w:rPr>
              <w:t>Prévu la semaine prochaine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  <w:p>
            <w:pPr>
              <w:pStyle w:val="ListBullet"/>
              <w:spacing w:after="60"/>
            </w:pPr>
            <w:r>
              <w:rPr>
                <w:color w:val="15212B"/>
                <w:sz w:val="19"/>
              </w:rPr>
              <w:t xml:space="preserve"> </w:t>
            </w:r>
          </w:p>
        </w:tc>
      </w:tr>
    </w:tbl>
    <w:p>
      <w:r>
        <w:br w:type="page"/>
      </w:r>
    </w:p>
    <w:p>
      <w:pPr>
        <w:spacing w:before="200" w:after="80"/>
      </w:pPr>
      <w:r>
        <w:rPr>
          <w:rFonts w:ascii="Calibri" w:hAnsi="Calibri"/>
          <w:b/>
          <w:color w:val="468BCA"/>
          <w:sz w:val="26"/>
        </w:rPr>
        <w:t>Sécurité et qualité</w:t>
      </w:r>
    </w:p>
    <w:p>
      <w:pPr>
        <w:spacing w:after="80"/>
      </w:pPr>
      <w:r>
        <w:rPr>
          <w:b/>
          <w:color w:val="15212B"/>
          <w:sz w:val="20"/>
        </w:rPr>
        <w:t xml:space="preserve">Incidents : </w:t>
      </w:r>
      <w:r>
        <w:rPr>
          <w:color w:val="B8C0C6"/>
          <w:sz w:val="20"/>
        </w:rPr>
        <w:t>_______________________________________________________</w:t>
      </w:r>
    </w:p>
    <w:p>
      <w:pPr>
        <w:spacing w:after="80"/>
      </w:pPr>
      <w:r>
        <w:rPr>
          <w:b/>
          <w:color w:val="15212B"/>
          <w:sz w:val="20"/>
        </w:rPr>
        <w:t xml:space="preserve">Contrôles réalisés : </w:t>
      </w:r>
      <w:r>
        <w:rPr>
          <w:color w:val="B8C0C6"/>
          <w:sz w:val="20"/>
        </w:rPr>
        <w:t>_______________________________________________________</w:t>
      </w:r>
    </w:p>
    <w:p>
      <w:pPr>
        <w:spacing w:after="80"/>
      </w:pPr>
      <w:r>
        <w:rPr>
          <w:b/>
          <w:color w:val="15212B"/>
          <w:sz w:val="20"/>
        </w:rPr>
        <w:t xml:space="preserve">Non-conformités ouvertes : </w:t>
      </w:r>
      <w:r>
        <w:rPr>
          <w:color w:val="B8C0C6"/>
          <w:sz w:val="20"/>
        </w:rPr>
        <w:t>_______________________________________________________</w:t>
      </w:r>
    </w:p>
    <w:p>
      <w:pPr>
        <w:spacing w:before="200" w:after="80"/>
      </w:pPr>
      <w:r>
        <w:rPr>
          <w:rFonts w:ascii="Calibri" w:hAnsi="Calibri"/>
          <w:b/>
          <w:color w:val="468BCA"/>
          <w:sz w:val="26"/>
        </w:rPr>
        <w:t>Photos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535"/>
            <w:tcBorders>
              <w:top w:val="single" w:sz="6" w:space="0" w:color="cfd6da"/>
              <w:left w:val="single" w:sz="6" w:space="0" w:color="cfd6da"/>
              <w:bottom w:val="single" w:sz="6" w:space="0" w:color="cfd6da"/>
              <w:right w:val="single" w:sz="6" w:space="0" w:color="cfd6da"/>
            </w:tcBorders>
          </w:tcPr>
          <w:p>
            <w:pPr>
              <w:spacing w:before="560" w:after="560"/>
              <w:jc w:val="center"/>
            </w:pPr>
            <w:r/>
            <w:r>
              <w:rPr>
                <w:sz w:val="20"/>
              </w:rPr>
              <w:t xml:space="preserve"> </w:t>
            </w:r>
          </w:p>
          <w:p>
            <w:pPr>
              <w:jc w:val="center"/>
            </w:pPr>
            <w:r>
              <w:rPr>
                <w:i/>
                <w:color w:val="7A8791"/>
                <w:sz w:val="17"/>
              </w:rPr>
              <w:t>Photo, lieu, date</w:t>
            </w:r>
          </w:p>
        </w:tc>
        <w:tc>
          <w:tcPr>
            <w:tcW w:type="dxa" w:w="4535"/>
            <w:tcBorders>
              <w:top w:val="single" w:sz="6" w:space="0" w:color="cfd6da"/>
              <w:left w:val="single" w:sz="6" w:space="0" w:color="cfd6da"/>
              <w:bottom w:val="single" w:sz="6" w:space="0" w:color="cfd6da"/>
              <w:right w:val="single" w:sz="6" w:space="0" w:color="cfd6da"/>
            </w:tcBorders>
          </w:tcPr>
          <w:p>
            <w:pPr>
              <w:spacing w:before="560" w:after="560"/>
              <w:jc w:val="center"/>
            </w:pPr>
            <w:r/>
            <w:r>
              <w:rPr>
                <w:sz w:val="20"/>
              </w:rPr>
              <w:t xml:space="preserve"> </w:t>
            </w:r>
          </w:p>
          <w:p>
            <w:pPr>
              <w:jc w:val="center"/>
            </w:pPr>
            <w:r>
              <w:rPr>
                <w:i/>
                <w:color w:val="7A8791"/>
                <w:sz w:val="17"/>
              </w:rPr>
              <w:t>Photo, lieu, date</w:t>
            </w:r>
          </w:p>
        </w:tc>
      </w:tr>
      <w:tr>
        <w:tc>
          <w:tcPr>
            <w:tcW w:type="dxa" w:w="4535"/>
            <w:tcBorders>
              <w:top w:val="single" w:sz="6" w:space="0" w:color="cfd6da"/>
              <w:left w:val="single" w:sz="6" w:space="0" w:color="cfd6da"/>
              <w:bottom w:val="single" w:sz="6" w:space="0" w:color="cfd6da"/>
              <w:right w:val="single" w:sz="6" w:space="0" w:color="cfd6da"/>
            </w:tcBorders>
          </w:tcPr>
          <w:p>
            <w:pPr>
              <w:spacing w:before="560" w:after="560"/>
              <w:jc w:val="center"/>
            </w:pPr>
            <w:r/>
            <w:r>
              <w:rPr>
                <w:sz w:val="20"/>
              </w:rPr>
              <w:t xml:space="preserve"> </w:t>
            </w:r>
          </w:p>
          <w:p>
            <w:pPr>
              <w:jc w:val="center"/>
            </w:pPr>
            <w:r>
              <w:rPr>
                <w:i/>
                <w:color w:val="7A8791"/>
                <w:sz w:val="17"/>
              </w:rPr>
              <w:t>Photo, lieu, date</w:t>
            </w:r>
          </w:p>
        </w:tc>
        <w:tc>
          <w:tcPr>
            <w:tcW w:type="dxa" w:w="4535"/>
            <w:tcBorders>
              <w:top w:val="single" w:sz="6" w:space="0" w:color="cfd6da"/>
              <w:left w:val="single" w:sz="6" w:space="0" w:color="cfd6da"/>
              <w:bottom w:val="single" w:sz="6" w:space="0" w:color="cfd6da"/>
              <w:right w:val="single" w:sz="6" w:space="0" w:color="cfd6da"/>
            </w:tcBorders>
          </w:tcPr>
          <w:p>
            <w:pPr>
              <w:spacing w:before="560" w:after="560"/>
              <w:jc w:val="center"/>
            </w:pPr>
            <w:r/>
            <w:r>
              <w:rPr>
                <w:sz w:val="20"/>
              </w:rPr>
              <w:t xml:space="preserve"> </w:t>
            </w:r>
          </w:p>
          <w:p>
            <w:pPr>
              <w:jc w:val="center"/>
            </w:pPr>
            <w:r>
              <w:rPr>
                <w:i/>
                <w:color w:val="7A8791"/>
                <w:sz w:val="17"/>
              </w:rPr>
              <w:t>Photo, lieu, date</w:t>
            </w:r>
          </w:p>
        </w:tc>
      </w:tr>
    </w:tbl>
    <w:p>
      <w:pPr>
        <w:spacing w:after="40"/>
      </w:pPr>
    </w:p>
    <w:p>
      <w:pPr>
        <w:spacing w:before="200" w:after="80"/>
      </w:pPr>
      <w:r>
        <w:rPr>
          <w:rFonts w:ascii="Calibri" w:hAnsi="Calibri"/>
          <w:b/>
          <w:color w:val="468BCA"/>
          <w:sz w:val="26"/>
        </w:rPr>
        <w:t>Décisions demandées à la direction</w:t>
      </w:r>
    </w:p>
    <w:p>
      <w:pPr>
        <w:spacing w:after="80"/>
      </w:pPr>
      <w:r>
        <w:rPr>
          <w:color w:val="B8C0C6"/>
          <w:sz w:val="20"/>
        </w:rPr>
        <w:t>_______________________________________________________________________________________________</w:t>
      </w:r>
    </w:p>
    <w:p>
      <w:pPr>
        <w:spacing w:after="80"/>
      </w:pPr>
      <w:r>
        <w:rPr>
          <w:color w:val="B8C0C6"/>
          <w:sz w:val="20"/>
        </w:rPr>
        <w:t>_______________________________________________________________________________________________</w:t>
      </w:r>
    </w:p>
    <w:p>
      <w:pPr>
        <w:spacing w:after="80"/>
      </w:pPr>
      <w:r>
        <w:rPr>
          <w:color w:val="B8C0C6"/>
          <w:sz w:val="20"/>
        </w:rPr>
        <w:t>_______________________________________________________________________________________________</w:t>
      </w:r>
    </w:p>
    <w:p>
      <w:pPr>
        <w:spacing w:after="12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Borders>
              <w:top w:val="single" w:sz="10" w:space="0" w:color="00a99d"/>
              <w:left w:val="single" w:sz="10" w:space="0" w:color="00a99d"/>
              <w:bottom w:val="single" w:sz="10" w:space="0" w:color="00a99d"/>
              <w:right w:val="single" w:sz="10" w:space="0" w:color="00a99d"/>
            </w:tcBorders>
            <w:shd w:val="clear" w:color="auto" w:fill="eef8f7"/>
          </w:tcPr>
          <w:p>
            <w:pPr>
              <w:spacing w:before="120" w:after="60"/>
            </w:pPr>
            <w:r/>
            <w:r>
              <w:rPr>
                <w:b/>
                <w:color w:val="00A99D"/>
                <w:sz w:val="21"/>
              </w:rPr>
              <w:t>Dans FunBIM, ce rapport se remplit tout seul.</w:t>
            </w:r>
          </w:p>
          <w:p>
            <w:pPr>
              <w:spacing w:after="60"/>
            </w:pPr>
            <w:r>
              <w:rPr>
                <w:color w:val="15212B"/>
                <w:sz w:val="19"/>
              </w:rPr>
              <w:t>L'avancement vient des saisies terrain, en mètres, unités ou surfaces.</w:t>
            </w:r>
          </w:p>
          <w:p>
            <w:pPr>
              <w:spacing w:after="60"/>
            </w:pPr>
            <w:r>
              <w:rPr>
                <w:color w:val="15212B"/>
                <w:sz w:val="19"/>
              </w:rPr>
              <w:t>Les bloquants viennent des points posés sur le plan, avec la photo.</w:t>
            </w:r>
          </w:p>
          <w:p>
            <w:pPr>
              <w:spacing w:after="120"/>
            </w:pPr>
            <w:r>
              <w:rPr>
                <w:color w:val="15212B"/>
                <w:sz w:val="19"/>
              </w:rPr>
              <w:t>Le rapport sort en PDF avec le modèle de votre choix, horodaté avec le nom : personne ne retape.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7A8791"/>
        <w:sz w:val="16"/>
      </w:rPr>
      <w:t>Gabarit FunBIM, funbim.com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5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